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Зарегистрировано в Минюсте России 1 сентября 2014 г. N 33916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ПРИКАЗ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от 18 августа 2014 г. N 1018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ВЫСШЕГО ОБРАЗОВАНИЯ ПО НАПРАВЛЕНИЮ ПОДГОТОВКИ 35.06.04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ТЕХНОЛОГИИ, СРЕДСТВА МЕХАНИЗАЦИИ И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ЭНЕРГЕТИЧЕСКОЕ</w:t>
      </w:r>
      <w:proofErr w:type="gramEnd"/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ОБОРУДОВАНИЕ В СЕЛЬСКОМ, ЛЕСНОМ И РЫБНОМ ХОЗЯЙСТВЕ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(УРОВЕНЬ ПОДГОТОВКИ КАДРОВ ВЫСШЕЙ КВАЛИФИКАЦИИ)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25">
        <w:rPr>
          <w:rFonts w:ascii="Times New Roman" w:hAnsi="Times New Roman" w:cs="Times New Roman"/>
          <w:sz w:val="28"/>
          <w:szCs w:val="28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Утвердить прилагаемый федеральный государственный образовательный стандарт высшего образования по направлению подготовки 35.06.04 Технологии, средства механизации и энергетическое оборудование в сельском, лесном и рыбном хозяйстве (уровень подготовки кадров высшей квалификации).</w:t>
      </w:r>
    </w:p>
    <w:p w:rsidR="00321E25" w:rsidRPr="00321E25" w:rsidRDefault="00321E25" w:rsidP="00321E25">
      <w:pPr>
        <w:jc w:val="right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Министр</w:t>
      </w:r>
    </w:p>
    <w:p w:rsidR="00321E25" w:rsidRPr="00321E25" w:rsidRDefault="00321E25" w:rsidP="00321E25">
      <w:pPr>
        <w:jc w:val="right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Д.В.ЛИВАНОВ</w:t>
      </w:r>
    </w:p>
    <w:p w:rsidR="00321E25" w:rsidRPr="00321E25" w:rsidRDefault="00321E25" w:rsidP="00321E25">
      <w:pPr>
        <w:jc w:val="right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Приложение</w:t>
      </w:r>
    </w:p>
    <w:p w:rsidR="00321E25" w:rsidRPr="00321E25" w:rsidRDefault="00321E25" w:rsidP="00321E25">
      <w:pPr>
        <w:jc w:val="right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Утвержден</w:t>
      </w:r>
    </w:p>
    <w:p w:rsidR="00321E25" w:rsidRPr="00321E25" w:rsidRDefault="00321E25" w:rsidP="00321E25">
      <w:pPr>
        <w:jc w:val="right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образования</w:t>
      </w:r>
    </w:p>
    <w:p w:rsidR="00321E25" w:rsidRPr="00321E25" w:rsidRDefault="00321E25" w:rsidP="00321E25">
      <w:pPr>
        <w:jc w:val="right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321E25" w:rsidRPr="00321E25" w:rsidRDefault="00321E25" w:rsidP="00321E25">
      <w:pPr>
        <w:jc w:val="right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от 18 августа 2014 г. N 1018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УРОВЕНЬ ВЫСШЕГО ОБРАЗОВАНИЯ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ПОДГОТОВКА КАДРОВ ВЫСШЕЙ КВАЛИФИКАЦИИ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35.06.04 ТЕХНОЛОГИИ, СРЕДСТВА МЕХАНИЗАЦИИ И ЭНЕРГЕТИЧЕСКОЕОБОРУДОВАНИЕ В СЕЛЬСКОМ, ЛЕСНОМ И РЫБНОМ ХОЗЯЙСТВЕ</w:t>
      </w:r>
    </w:p>
    <w:p w:rsidR="00321E25" w:rsidRPr="00321E25" w:rsidRDefault="00321E25" w:rsidP="0032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I. ОБЛАСТЬ ПРИМЕНЕНИЯ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25">
        <w:rPr>
          <w:rFonts w:ascii="Times New Roman" w:hAnsi="Times New Roman" w:cs="Times New Roman"/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35.06.04 Технологии, средства механизации и энергетическое оборудование в сельском, лесном и рыбном хозяйстве (далее </w:t>
      </w:r>
      <w:proofErr w:type="gramEnd"/>
    </w:p>
    <w:p w:rsidR="00321E25" w:rsidRPr="00321E25" w:rsidRDefault="00321E25" w:rsidP="001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соответственно - программа аспирантуры, направление подготовки).</w:t>
      </w:r>
      <w:r w:rsidR="00133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II. ИСПОЛЬЗУЕМЫЕ СОКРАЩЕНИЯ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В настоящем федеральном государственном образовательном стандарте используются следующие сокращения: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- высшее образование;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УК - универсальные компетенции;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ОПК -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 xml:space="preserve"> компетенции;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ПК - профессиональные компетенции;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lastRenderedPageBreak/>
        <w:t xml:space="preserve">ФГОС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- федеральный государственный образовательный стандарт высшего образования;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сетевая форма - сетевая форма реализации образовательных программ.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III. ХАРАКТЕРИСТИКА НАПРАВЛЕНИЯ ПОДГОТОВКИ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Объем программы аспирантуры составляет 180 зачетных единиц (далее -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3.3. Срок получения образования по программе аспирантуры: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 xml:space="preserve">Объем программы аспирантуры в очной форме обучения, реализуемый за один учебный год, составляет 60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25">
        <w:rPr>
          <w:rFonts w:ascii="Times New Roman" w:hAnsi="Times New Roman" w:cs="Times New Roman"/>
          <w:sz w:val="28"/>
          <w:szCs w:val="28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Объем программы аспирантуры в заочной форме обучения, реализуемый за один учебный год, определяется организацией самостоятельно;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2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индивидуальному плану не может составлять более 75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>. за один учебный год.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3.5. Реализация программы аспирантуры возможна с использованием сетевой формы.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IV. ХАРАКТЕРИСТИКА ПРОФЕССИОНАЛЬНОЙ ДЕЯТЕЛЬНОСТИ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ВЫПУСКНИКОВ, ОСВОИВШИХ ПРОГРАММУ АСПИРАНТУРЫ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4.1. Область профессиональной деятельности выпускников, освоивших программу аспирантуры, включает:</w:t>
      </w:r>
    </w:p>
    <w:p w:rsidR="001336D3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25">
        <w:rPr>
          <w:rFonts w:ascii="Times New Roman" w:hAnsi="Times New Roman" w:cs="Times New Roman"/>
          <w:sz w:val="28"/>
          <w:szCs w:val="28"/>
        </w:rPr>
        <w:t>исследование и разработку требований, технологий, машин, орудий, рабочих органов и оборудования, материалов, систем качества производства, хранения, переработки, добычи, утилизации отходов и подготовки к реализации продукции в различных отраслях сельского, рыбного и лесного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25">
        <w:rPr>
          <w:rFonts w:ascii="Times New Roman" w:hAnsi="Times New Roman" w:cs="Times New Roman"/>
          <w:sz w:val="28"/>
          <w:szCs w:val="28"/>
        </w:rPr>
        <w:t>(лесопромышленного и лесозаготовительного) хозяйств;</w:t>
      </w:r>
      <w:r w:rsidR="00133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исследование и моделирование с целью оптимизации в производственной эксплуатации технических систем в различных отраслях сельского, рыбного и лесного хозяйств;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обоснование параметров, режимов, методов испытаний и сертификаций сложных технических систем, машин, орудий, оборудования для производства, хранения, переработки, добычи, утилизации отходов, технического сервиса и подготовки к реализации продукции в различных отраслях сельского, рыбного и лесного хозяйств;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исследование и разработку технологий, технических средств и технологических материалов для технического сервиса технологического оборудования, применения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 xml:space="preserve"> в сельском, лесном и рыбном хозяйстве;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и разработку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энерготехнологий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>, технических средств, энергетического оборудования, систем энергообеспечения и энергосбережения, возобновляемых источников энергии в сельском, лесном и рыбном хозяйстве и сельских территорий;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решение комплексных задач в области промышленного рыболовства, направленных на обеспечение рационального использования водных биоресурсов естественных водоемов;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исследование распределения и поведения объектов лова, технических средств поиска запасов промысловых гидробионтов и методов их применения, техники и технологии лова гидробионтов;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экономическое обоснование промысла гидробионтов;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организацию и ведение промысла, разработки орудий лова и технических средств поиска запасов промысловых гидробионтов;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испытание и рыбоводно-технологическая оценка систем и конструкций оборудования для рыбного хозяйства и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 xml:space="preserve">, технических средств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>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преподавательскую деятельность в образовательных организациях высшего образования.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4.2. Объектами профессиональной деятельности выпускников, освоивших программу аспирантуры, являются: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сложные системы, их подсистемы и элементы в отраслях сельского, рыбного и лесного хозяйств: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25">
        <w:rPr>
          <w:rFonts w:ascii="Times New Roman" w:hAnsi="Times New Roman" w:cs="Times New Roman"/>
          <w:sz w:val="28"/>
          <w:szCs w:val="28"/>
        </w:rPr>
        <w:t>производственные и технологические процессы; мобильные, энергетические, стационарные машины, устройства, аппараты, технические средства, орудия и их рабочие органы, оборудование для производства, хранения, переработки, добычи, технического сервиса, утилизации отходов;</w:t>
      </w:r>
      <w:proofErr w:type="gramEnd"/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педагогические методы и средства доведения актуальной информации до обучающихся с целью эффективного усвоения новых знаний, приобретения навыков, опыта и компетенций.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4.3. Виды профессиональной деятельности, к которым готовятся выпускники, освоившие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25">
        <w:rPr>
          <w:rFonts w:ascii="Times New Roman" w:hAnsi="Times New Roman" w:cs="Times New Roman"/>
          <w:sz w:val="28"/>
          <w:szCs w:val="28"/>
        </w:rPr>
        <w:t>аспирантуры: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lastRenderedPageBreak/>
        <w:t>научно-исследовательская деятельность в области технологии, механизации, энергетики в сельском, рыбном и лесном хозяйстве;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преподавательская деятельность по образовательным программам высшего образования.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V. ТРЕБОВАНИЯ К РЕЗУЛЬТАТАМ ОСВОЕНИЯ ПРОГРАММЫ АСПИРАНТУРЫ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5.1. В результате освоения программы аспирантуры у выпускника должны быть сформированы: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 xml:space="preserve"> компетенции, определяемые направлением подготовки;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5.2. Выпускник, освоивший программу аспирантуры, должен обладать следующими универсальными компетенциями: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lastRenderedPageBreak/>
        <w:t>способностью следовать этическим нормам в профессиональной деятельности (УК-5);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способностью планировать и решать задачи собственного профессионального и личностного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E25">
        <w:rPr>
          <w:rFonts w:ascii="Times New Roman" w:hAnsi="Times New Roman" w:cs="Times New Roman"/>
          <w:sz w:val="28"/>
          <w:szCs w:val="28"/>
        </w:rPr>
        <w:t>развития (УК-6).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5.3. Выпускник, освоивший программу аспирантуры, должен обладать следующими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 xml:space="preserve"> компетенциями: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способностью планировать и проводить эксперименты, обрабатывать и анализировать их результаты (ОПК-1);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способностью подготавливать научно-технические отчеты, а также публикации по результатам выполнения исследований (ОПК-2);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готовностью докладывать и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 xml:space="preserve"> защищать результаты выполненной научной работы (ОПК-3);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готовностью к преподавательской деятельности по основным образовательным программам высшего образования (ОПК-4).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5.4. При разработке программы аспирантуры все универсальные и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 xml:space="preserve"> компетенции включаются в набор требуемых результатов освоения программы аспирантуры.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науки Российской Федерации &lt;1&gt;.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25">
        <w:rPr>
          <w:rFonts w:ascii="Times New Roman" w:hAnsi="Times New Roman" w:cs="Times New Roman"/>
          <w:sz w:val="28"/>
          <w:szCs w:val="28"/>
        </w:rP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N 27, ст. 3776).</w:t>
      </w:r>
      <w:proofErr w:type="gramEnd"/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VI. ТРЕБОВАНИЯ К СТРУКТУРЕ ПРОГРАММЫ АСПИРАНТУРЫ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Pr="00321E25">
        <w:rPr>
          <w:rFonts w:ascii="Times New Roman" w:hAnsi="Times New Roman" w:cs="Times New Roman"/>
          <w:sz w:val="28"/>
          <w:szCs w:val="28"/>
        </w:rPr>
        <w:lastRenderedPageBreak/>
        <w:t>аспирантуры, имеющих различную направленность программы в рамках одного направления подготовки.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6.2. Программа аспирантуры состоит из следующих блоков: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Блок 2 "Практики", который в полном объеме относится к вариативной части программы.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Блок 3 "Научно-исследовательская работа", который в полном объеме относится к вариативной части программы.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Блок 4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Структура программы аспирантуры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Таблица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Наименование элемента программы Объем (в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>.)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Блок 1 "Дисциплины (модули)" 30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Базовая часть 9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Дисциплины (модули), в том числе направленные на подготовку к сдаче 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кандидатских экзаменов</w:t>
      </w:r>
    </w:p>
    <w:p w:rsidR="00321E25" w:rsidRPr="00321E25" w:rsidRDefault="00321E25" w:rsidP="001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Вариативная часть </w:t>
      </w:r>
      <w:r w:rsidR="001336D3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Дисциплина/дисциплины (модуль/модули), в том числе направленные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подготовку к сдаче кандидатского экзамена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Дисциплина/дисциплины (модуль/модули), направленные на подготовку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преподавательской деятельности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Блок 2 "Практики"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Вариативная часть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Блок 3 "Научно-исследовательская работа" 141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lastRenderedPageBreak/>
        <w:t>Вариативная часть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Блок 4 "Государственная итоговая аттестация" 9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Базовая часть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Объем программы аспирантуры 180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>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&lt;1&gt; 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Педагогическая практика является обязательной.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Способы проведения практики: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стационарная;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выездная.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Практика может проводиться в структурных подразделениях организации.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lastRenderedPageBreak/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экзамена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VII. ТРЕБОВАНИЯ К УСЛОВИЯМ РЕАЛИЗАЦИИ ПРОГРАММЫ АСПИРАНТУРЫ</w:t>
      </w:r>
    </w:p>
    <w:p w:rsidR="001336D3" w:rsidRPr="00321E25" w:rsidRDefault="00321E25" w:rsidP="001336D3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7.1. Общесистемные требования к реализации программы аспирантуры.</w:t>
      </w:r>
      <w:r w:rsidR="00133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7.1.1.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-сеть "Интернет"), и отвечающая техническим требованиям организации, как на территории организации, так и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>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организации должна обеспечивать: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lastRenderedPageBreak/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</w:t>
      </w:r>
      <w:r w:rsidR="001336D3">
        <w:rPr>
          <w:rFonts w:ascii="Times New Roman" w:hAnsi="Times New Roman" w:cs="Times New Roman"/>
          <w:sz w:val="28"/>
          <w:szCs w:val="28"/>
        </w:rPr>
        <w:t xml:space="preserve"> </w:t>
      </w:r>
      <w:r w:rsidRPr="00321E25">
        <w:rPr>
          <w:rFonts w:ascii="Times New Roman" w:hAnsi="Times New Roman" w:cs="Times New Roman"/>
          <w:sz w:val="28"/>
          <w:szCs w:val="28"/>
        </w:rPr>
        <w:t>программах;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E25">
        <w:rPr>
          <w:rFonts w:ascii="Times New Roman" w:hAnsi="Times New Roman" w:cs="Times New Roman"/>
          <w:sz w:val="28"/>
          <w:szCs w:val="28"/>
        </w:rP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N 31, ст. 4173; N 31, ст. 4196; N 49, ст. 6409; 2011, N 23, ст. 3263; N 31, ст. 4701; 2013, N 14, ст. 1651; N 30, ст. 4038; N 51, ст. 6683).</w:t>
      </w:r>
      <w:proofErr w:type="gramEnd"/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lastRenderedPageBreak/>
        <w:t>программы аспирантуры в сетевой форме.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7.1.5.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20237), и профессиональным стандартам (при наличии).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7.1.6. Доля штатных научно-педагогических работников (в приведенных к целочисленным значениям</w:t>
      </w:r>
      <w:r w:rsidR="001336D3">
        <w:rPr>
          <w:rFonts w:ascii="Times New Roman" w:hAnsi="Times New Roman" w:cs="Times New Roman"/>
          <w:sz w:val="28"/>
          <w:szCs w:val="28"/>
        </w:rPr>
        <w:t xml:space="preserve"> </w:t>
      </w:r>
      <w:r w:rsidRPr="00321E25">
        <w:rPr>
          <w:rFonts w:ascii="Times New Roman" w:hAnsi="Times New Roman" w:cs="Times New Roman"/>
          <w:sz w:val="28"/>
          <w:szCs w:val="28"/>
        </w:rPr>
        <w:t>ставок) должна составлять не менее 60 процентов от общего количества научно-педагогических работников организации.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7.1.7.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1E25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321E25">
        <w:rPr>
          <w:rFonts w:ascii="Times New Roman" w:hAnsi="Times New Roman" w:cs="Times New Roman"/>
          <w:sz w:val="28"/>
          <w:szCs w:val="28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7.1.8.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lastRenderedPageBreak/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7.2. Требования к кадровым условиям реализации программы аспирантуры.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7.2.2.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7.2.3.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7.3. Требования к материально-техническому и учебно-методическому обеспечению программы аспирантуры.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</w:t>
      </w:r>
      <w:r w:rsidRPr="00321E25">
        <w:rPr>
          <w:rFonts w:ascii="Times New Roman" w:hAnsi="Times New Roman" w:cs="Times New Roman"/>
          <w:sz w:val="28"/>
          <w:szCs w:val="28"/>
        </w:rPr>
        <w:lastRenderedPageBreak/>
        <w:t>специализированной мебелью и техническими средствами обучения, служащими для представления информации большой аудитории.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r w:rsidR="001336D3">
        <w:rPr>
          <w:rFonts w:ascii="Times New Roman" w:hAnsi="Times New Roman" w:cs="Times New Roman"/>
          <w:sz w:val="28"/>
          <w:szCs w:val="28"/>
        </w:rPr>
        <w:t xml:space="preserve"> </w:t>
      </w:r>
      <w:r w:rsidRPr="00321E25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осваивать умения и навыки, предусмотренные профессиональной деятельностью.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7.3.4. </w:t>
      </w:r>
      <w:proofErr w:type="gramStart"/>
      <w:r w:rsidRPr="00321E25">
        <w:rPr>
          <w:rFonts w:ascii="Times New Roman" w:hAnsi="Times New Roman" w:cs="Times New Roman"/>
          <w:sz w:val="28"/>
          <w:szCs w:val="28"/>
        </w:rPr>
        <w:t xml:space="preserve"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</w:t>
      </w:r>
      <w:r w:rsidRPr="00321E25">
        <w:rPr>
          <w:rFonts w:ascii="Times New Roman" w:hAnsi="Times New Roman" w:cs="Times New Roman"/>
          <w:sz w:val="28"/>
          <w:szCs w:val="28"/>
        </w:rPr>
        <w:lastRenderedPageBreak/>
        <w:t>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>7.4. Требования к финансовому обеспечению программы аспирантуры.</w:t>
      </w:r>
    </w:p>
    <w:p w:rsidR="00321E25" w:rsidRPr="00321E25" w:rsidRDefault="00321E25" w:rsidP="00321E25">
      <w:pPr>
        <w:jc w:val="both"/>
        <w:rPr>
          <w:rFonts w:ascii="Times New Roman" w:hAnsi="Times New Roman" w:cs="Times New Roman"/>
          <w:sz w:val="28"/>
          <w:szCs w:val="28"/>
        </w:rPr>
      </w:pPr>
      <w:r w:rsidRPr="00321E25">
        <w:rPr>
          <w:rFonts w:ascii="Times New Roman" w:hAnsi="Times New Roman" w:cs="Times New Roman"/>
          <w:sz w:val="28"/>
          <w:szCs w:val="28"/>
        </w:rPr>
        <w:t xml:space="preserve">7.4.1.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</w:t>
      </w:r>
    </w:p>
    <w:p w:rsidR="0028398F" w:rsidRDefault="00321E25" w:rsidP="00321E25">
      <w:pPr>
        <w:jc w:val="both"/>
      </w:pPr>
      <w:proofErr w:type="gramStart"/>
      <w:r w:rsidRPr="00321E25">
        <w:rPr>
          <w:rFonts w:ascii="Times New Roman" w:hAnsi="Times New Roman" w:cs="Times New Roman"/>
          <w:sz w:val="28"/>
          <w:szCs w:val="28"/>
        </w:rPr>
        <w:t>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r w:rsidR="001336D3">
        <w:rPr>
          <w:rFonts w:ascii="Times New Roman" w:hAnsi="Times New Roman" w:cs="Times New Roman"/>
          <w:sz w:val="28"/>
          <w:szCs w:val="28"/>
        </w:rPr>
        <w:t xml:space="preserve"> </w:t>
      </w:r>
      <w:r w:rsidRPr="00321E25">
        <w:rPr>
          <w:rFonts w:ascii="Times New Roman" w:hAnsi="Times New Roman" w:cs="Times New Roman"/>
          <w:sz w:val="28"/>
          <w:szCs w:val="28"/>
        </w:rPr>
        <w:t>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</w:t>
      </w:r>
      <w:proofErr w:type="gramEnd"/>
      <w:r w:rsidRPr="00321E25">
        <w:rPr>
          <w:rFonts w:ascii="Times New Roman" w:hAnsi="Times New Roman" w:cs="Times New Roman"/>
          <w:sz w:val="28"/>
          <w:szCs w:val="28"/>
        </w:rPr>
        <w:t xml:space="preserve"> г., регистрационный N 29967).</w:t>
      </w:r>
    </w:p>
    <w:sectPr w:rsidR="0028398F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25"/>
    <w:rsid w:val="001336D3"/>
    <w:rsid w:val="0028398F"/>
    <w:rsid w:val="002B2E2E"/>
    <w:rsid w:val="0032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9F4B-3269-4621-829C-A6F94567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2014-10-10T05:05:00Z</dcterms:created>
  <dcterms:modified xsi:type="dcterms:W3CDTF">2014-10-10T05:25:00Z</dcterms:modified>
</cp:coreProperties>
</file>